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403B1" w14:textId="77777777" w:rsidR="006B1BFD" w:rsidRPr="00C52F8B" w:rsidRDefault="00814F62" w:rsidP="00C52F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52F8B">
        <w:rPr>
          <w:rFonts w:ascii="Times New Roman" w:hAnsi="Times New Roman" w:cs="Times New Roman"/>
          <w:b/>
          <w:sz w:val="28"/>
          <w:szCs w:val="28"/>
          <w:lang w:val="ru-RU"/>
        </w:rPr>
        <w:t>АНАЛИТИЧЕСКИЙ ОТЧЁТ</w:t>
      </w:r>
      <w:r w:rsidRPr="00C52F8B">
        <w:rPr>
          <w:rFonts w:ascii="Times New Roman" w:hAnsi="Times New Roman" w:cs="Times New Roman"/>
          <w:b/>
          <w:sz w:val="28"/>
          <w:szCs w:val="28"/>
          <w:lang w:val="ru-RU"/>
        </w:rPr>
        <w:br/>
        <w:t>по трудоустройству и образовательной траектории выпускников</w:t>
      </w:r>
      <w:r w:rsidRPr="00C52F8B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C52F8B">
        <w:rPr>
          <w:rFonts w:ascii="Times New Roman" w:hAnsi="Times New Roman" w:cs="Times New Roman"/>
          <w:sz w:val="28"/>
          <w:szCs w:val="28"/>
          <w:lang w:val="ru-RU"/>
        </w:rPr>
        <w:t>КГУ «Школа-гимназия №1 имени Н. Крупской»</w:t>
      </w:r>
      <w:r w:rsidRPr="00C52F8B">
        <w:rPr>
          <w:rFonts w:ascii="Times New Roman" w:hAnsi="Times New Roman" w:cs="Times New Roman"/>
          <w:sz w:val="28"/>
          <w:szCs w:val="28"/>
          <w:lang w:val="ru-RU"/>
        </w:rPr>
        <w:br/>
        <w:t>2025–2026 учебный год</w:t>
      </w:r>
    </w:p>
    <w:p w14:paraId="3D777447" w14:textId="77777777" w:rsidR="00B1248C" w:rsidRPr="00C52F8B" w:rsidRDefault="00B1248C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82E909" w14:textId="77777777" w:rsidR="00B1248C" w:rsidRPr="00C52F8B" w:rsidRDefault="00B1248C" w:rsidP="00C52F8B">
      <w:pPr>
        <w:pStyle w:val="1"/>
        <w:spacing w:before="0" w:line="240" w:lineRule="auto"/>
        <w:ind w:firstLine="720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lang w:val="ru-RU"/>
        </w:rPr>
      </w:pPr>
      <w:r w:rsidRPr="00C52F8B">
        <w:rPr>
          <w:rFonts w:ascii="Times New Roman" w:eastAsiaTheme="minorEastAsia" w:hAnsi="Times New Roman" w:cs="Times New Roman"/>
          <w:b w:val="0"/>
          <w:bCs w:val="0"/>
          <w:color w:val="auto"/>
          <w:lang w:val="ru-RU"/>
        </w:rPr>
        <w:t>Анализ образовательных и профессиональных траекторий выпускников 9-х и 11-х классов показывает устойчивую ориентацию учащихся на дальнейшее получение профессионального образования. В выборе образовательных маршрутов наиболее заметно представлены педагогическое, техническое, экономическое и аграрное направления, а также специальности в сфере дизайна, медиа и информационных технологий. Полученные результаты свидетельствуют о разнообразии профессиональных интересов выпускников и стремлении продолжить обучение в соответствии с выбранными профессиональными направлениями.</w:t>
      </w:r>
    </w:p>
    <w:p w14:paraId="69467C97" w14:textId="4032C585" w:rsidR="006B1BFD" w:rsidRPr="00C52F8B" w:rsidRDefault="00B1248C" w:rsidP="00C52F8B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  <w:r w:rsidRPr="00C52F8B">
        <w:rPr>
          <w:rFonts w:ascii="Times New Roman" w:hAnsi="Times New Roman" w:cs="Times New Roman"/>
          <w:color w:val="auto"/>
          <w:lang w:val="ru-RU"/>
        </w:rPr>
        <w:t>Результаты по выпускникам 9-х классов</w:t>
      </w:r>
    </w:p>
    <w:p w14:paraId="31582C72" w14:textId="77777777" w:rsidR="00B1248C" w:rsidRPr="00C52F8B" w:rsidRDefault="00B1248C" w:rsidP="00C52F8B">
      <w:pPr>
        <w:jc w:val="both"/>
        <w:rPr>
          <w:sz w:val="28"/>
          <w:szCs w:val="28"/>
          <w:lang w:val="ru-RU"/>
        </w:rPr>
      </w:pPr>
    </w:p>
    <w:p w14:paraId="0F21894C" w14:textId="1735DE56" w:rsidR="006B1BFD" w:rsidRPr="00C52F8B" w:rsidRDefault="004D2DCB" w:rsidP="00C52F8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C52F8B">
        <w:rPr>
          <w:noProof/>
          <w:sz w:val="28"/>
          <w:szCs w:val="28"/>
        </w:rPr>
        <w:drawing>
          <wp:inline distT="0" distB="0" distL="0" distR="0" wp14:anchorId="089F3F7E" wp14:editId="7C8DCB9D">
            <wp:extent cx="6400800" cy="3771900"/>
            <wp:effectExtent l="0" t="0" r="0" b="0"/>
            <wp:docPr id="86048047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1934C2-5A1E-76CD-E233-E9EFCF7BE1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07E9803" w14:textId="77777777" w:rsidR="004D2DCB" w:rsidRPr="00C52F8B" w:rsidRDefault="004D2DCB" w:rsidP="00C52F8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14:paraId="149CE06F" w14:textId="093176D6" w:rsidR="006B1BFD" w:rsidRPr="00C52F8B" w:rsidRDefault="00BD4E3F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2F8B">
        <w:rPr>
          <w:rFonts w:ascii="Times New Roman" w:hAnsi="Times New Roman" w:cs="Times New Roman"/>
          <w:sz w:val="28"/>
          <w:szCs w:val="28"/>
          <w:lang w:val="ru-RU"/>
        </w:rPr>
        <w:t>По итогам окончания 9-х классов 25 учащихся продолжили обучение в организациях технического и профессионального образования (колледжах). 39 учащихся продолжили обучение в 10-х классах: из них 1 учащийся — в вечерней школе, 2 учащихся переведены в КГУ имени Н. Островского, 37 учащихся продолжают обучение в нашей школе.</w:t>
      </w:r>
    </w:p>
    <w:p w14:paraId="0D2E14F0" w14:textId="77777777" w:rsidR="00BD4E3F" w:rsidRPr="00C52F8B" w:rsidRDefault="00BD4E3F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1BCBC6" w14:textId="77777777" w:rsidR="00BD4E3F" w:rsidRPr="00C52F8B" w:rsidRDefault="00BD4E3F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64A4C6" w14:textId="77777777" w:rsidR="00BD4E3F" w:rsidRPr="00C52F8B" w:rsidRDefault="00BD4E3F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ff0"/>
        <w:tblW w:w="10552" w:type="dxa"/>
        <w:tblLook w:val="04A0" w:firstRow="1" w:lastRow="0" w:firstColumn="1" w:lastColumn="0" w:noHBand="0" w:noVBand="1"/>
      </w:tblPr>
      <w:tblGrid>
        <w:gridCol w:w="2638"/>
        <w:gridCol w:w="2638"/>
        <w:gridCol w:w="2638"/>
        <w:gridCol w:w="2638"/>
      </w:tblGrid>
      <w:tr w:rsidR="006B1BFD" w:rsidRPr="00C52F8B" w14:paraId="3858C5C3" w14:textId="77777777" w:rsidTr="00BD4E3F">
        <w:trPr>
          <w:trHeight w:val="357"/>
        </w:trPr>
        <w:tc>
          <w:tcPr>
            <w:tcW w:w="2638" w:type="dxa"/>
          </w:tcPr>
          <w:p w14:paraId="615AC229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2638" w:type="dxa"/>
          </w:tcPr>
          <w:p w14:paraId="71D795CE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38" w:type="dxa"/>
          </w:tcPr>
          <w:p w14:paraId="769AE3CA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Поступили</w:t>
            </w:r>
          </w:p>
        </w:tc>
        <w:tc>
          <w:tcPr>
            <w:tcW w:w="2638" w:type="dxa"/>
          </w:tcPr>
          <w:p w14:paraId="2F21A236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Армия / работа</w:t>
            </w:r>
          </w:p>
        </w:tc>
      </w:tr>
      <w:tr w:rsidR="006B1BFD" w:rsidRPr="00C52F8B" w14:paraId="3D245F6F" w14:textId="77777777" w:rsidTr="00BD4E3F">
        <w:trPr>
          <w:trHeight w:val="357"/>
        </w:trPr>
        <w:tc>
          <w:tcPr>
            <w:tcW w:w="2638" w:type="dxa"/>
          </w:tcPr>
          <w:p w14:paraId="40A7A301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38" w:type="dxa"/>
          </w:tcPr>
          <w:p w14:paraId="7A253D0B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38" w:type="dxa"/>
          </w:tcPr>
          <w:p w14:paraId="01A3CD7B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38" w:type="dxa"/>
          </w:tcPr>
          <w:p w14:paraId="040E8C2D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B1BFD" w:rsidRPr="00C52F8B" w14:paraId="61774F1A" w14:textId="77777777" w:rsidTr="00BD4E3F">
        <w:trPr>
          <w:trHeight w:val="357"/>
        </w:trPr>
        <w:tc>
          <w:tcPr>
            <w:tcW w:w="2638" w:type="dxa"/>
          </w:tcPr>
          <w:p w14:paraId="376DF66E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638" w:type="dxa"/>
          </w:tcPr>
          <w:p w14:paraId="1093B108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38" w:type="dxa"/>
          </w:tcPr>
          <w:p w14:paraId="0CFB35EF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38" w:type="dxa"/>
          </w:tcPr>
          <w:p w14:paraId="1C50C3E1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D988B46" w14:textId="77777777" w:rsidR="00BD4E3F" w:rsidRPr="00C52F8B" w:rsidRDefault="00BD4E3F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C8180E" w14:textId="628295FB" w:rsidR="00BD4E3F" w:rsidRPr="00C52F8B" w:rsidRDefault="00BD4E3F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2F8B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F3EF60C" wp14:editId="41C44F69">
            <wp:extent cx="6633210" cy="2634342"/>
            <wp:effectExtent l="0" t="0" r="0" b="0"/>
            <wp:docPr id="1176916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718" cy="2636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677D7D" w14:textId="77777777" w:rsidR="00BD4E3F" w:rsidRPr="00C52F8B" w:rsidRDefault="00BD4E3F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DDF40C" w14:textId="77777777" w:rsidR="00EF62BA" w:rsidRPr="00C52F8B" w:rsidRDefault="00EF62BA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По итогам 2025–2026 учебного года из 40 выпускников 11-х классов дальнейшая образовательная и профессиональная траектория определена у всех выпускников. 24 выпускника (60%) продолжили обучение в вузах Республики Казахстан, 2 (5%) поступили в вузы Российской Федерации, 12 (30%) выбрали обучение в колледжах Республики Казахстан. 1 выпускник (2,5%) приступил к трудовой деятельности, ещё 1 выпускник (2,5%) продолжил свой путь через воинскую службу.</w:t>
      </w:r>
    </w:p>
    <w:p w14:paraId="69E87AAD" w14:textId="77777777" w:rsidR="00EF62BA" w:rsidRPr="00C52F8B" w:rsidRDefault="00EF62BA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Таким образом, 95% выпускников продолжили обучение в организациях высшего и технического и профессионального образования, что свидетельствует о высокой ориентированности выпускников на дальнейшее образование и получение профессиональной квалификации. Наиболее востребованным маршрутом стало поступление в вузы Республики Казахстан, куда направились 60% выпускников. Второе место по численности занимает обучение в колледжах — 30%.</w:t>
      </w:r>
    </w:p>
    <w:p w14:paraId="16B724AE" w14:textId="77777777" w:rsidR="00EF62BA" w:rsidRPr="00C52F8B" w:rsidRDefault="00EF62BA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В целом результаты показывают, что выпускники 11-х классов в основном связывают своё дальнейшее развитие с получением профессионального образования и освоением выбранной специальности.</w:t>
      </w:r>
    </w:p>
    <w:p w14:paraId="44AD1C67" w14:textId="77777777" w:rsidR="00EF62BA" w:rsidRPr="00C52F8B" w:rsidRDefault="00EF62BA" w:rsidP="00C52F8B">
      <w:pPr>
        <w:jc w:val="both"/>
        <w:rPr>
          <w:sz w:val="28"/>
          <w:szCs w:val="28"/>
          <w:lang w:val="ru-KZ"/>
        </w:rPr>
      </w:pPr>
    </w:p>
    <w:p w14:paraId="47D7618D" w14:textId="5ADE99C7" w:rsidR="006B1BFD" w:rsidRPr="00C52F8B" w:rsidRDefault="00814F62" w:rsidP="00C52F8B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  <w:r w:rsidRPr="00C52F8B">
        <w:rPr>
          <w:rFonts w:ascii="Times New Roman" w:hAnsi="Times New Roman" w:cs="Times New Roman"/>
          <w:color w:val="auto"/>
          <w:lang w:val="ru-RU"/>
        </w:rPr>
        <w:lastRenderedPageBreak/>
        <w:t xml:space="preserve">2. </w:t>
      </w:r>
      <w:r w:rsidR="00EF62BA" w:rsidRPr="00F83653">
        <w:rPr>
          <w:rFonts w:ascii="Times New Roman" w:hAnsi="Times New Roman" w:cs="Times New Roman"/>
          <w:color w:val="auto"/>
          <w:lang w:val="ru-RU"/>
        </w:rPr>
        <w:t>Приоритетные направления профессионального образования</w:t>
      </w:r>
    </w:p>
    <w:p w14:paraId="2CC63212" w14:textId="77777777" w:rsidR="006B1BFD" w:rsidRPr="00F83653" w:rsidRDefault="00814F62" w:rsidP="00C52F8B">
      <w:pPr>
        <w:pStyle w:val="21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F83653">
        <w:rPr>
          <w:rFonts w:ascii="Times New Roman" w:hAnsi="Times New Roman" w:cs="Times New Roman"/>
          <w:color w:val="auto"/>
          <w:sz w:val="28"/>
          <w:szCs w:val="28"/>
          <w:lang w:val="ru-RU"/>
        </w:rPr>
        <w:t>2.1. 9-е классы — 9А, 9Б, 9В</w:t>
      </w:r>
    </w:p>
    <w:p w14:paraId="4A7B99D5" w14:textId="77777777" w:rsidR="006B1BFD" w:rsidRPr="00C52F8B" w:rsidRDefault="00814F62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F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810E05" wp14:editId="4A039595">
            <wp:extent cx="6217920" cy="356126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направления_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56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E012" w14:textId="77777777" w:rsidR="00EF62BA" w:rsidRPr="00C52F8B" w:rsidRDefault="00EF62BA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Анализ образовательных траекторий выпускников 9-х классов показывает разнообразие профессиональных предпочтений учащихся. При этом выбор направлений имеет свои особенности в каждом классе.</w:t>
      </w:r>
    </w:p>
    <w:p w14:paraId="25A4F5E5" w14:textId="77777777" w:rsidR="00EF62BA" w:rsidRPr="00C52F8B" w:rsidRDefault="00EF62BA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В 9А классе наиболее заметен интерес к творческим, дизайнерским и прикладным специальностям. Выпускники выбирают направления, связанные с дизайном, издательским делом, управлением, электротехникой и сферой охраны труда.</w:t>
      </w:r>
    </w:p>
    <w:p w14:paraId="447A26A3" w14:textId="77777777" w:rsidR="00EF62BA" w:rsidRPr="00C52F8B" w:rsidRDefault="00EF62BA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В 9Б классе более выражена ориентация на технические и IT-специальности. Два выпускника выбрали направление, связанное с разработкой программного обеспечения, также востребованы специальности технического и производственного профиля, что свидетельствует о повышенном интересе учащихся класса к современным технологиям и практико-ориентированным профессиям.</w:t>
      </w:r>
    </w:p>
    <w:p w14:paraId="1D2909E4" w14:textId="77777777" w:rsidR="00EF62BA" w:rsidRPr="00C52F8B" w:rsidRDefault="00EF62BA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В 9В классе выбор распределяется преимущественно между педагогическими и техническими направлениями. Наряду с педагогикой представлены специальности в сфере железнодорожного транспорта, ветеринарии, банковского дела и технического проектирования.</w:t>
      </w:r>
    </w:p>
    <w:p w14:paraId="4A6D3F07" w14:textId="77777777" w:rsidR="00EF62BA" w:rsidRPr="00C52F8B" w:rsidRDefault="00EF62BA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Таким образом, среди выпускников 9-х классов прослеживается устойчивый интерес к практико-ориентированным профессиям, при этом наиболее заметны техническое, IT и педагогическое направления. Отдельное внимание следует уделить развитию IT-компетенций и технического профиля, поскольку уже на уровне 9-х классов формируется интерес к программированию, разработке программного обеспечения и техническим специальностям.</w:t>
      </w:r>
    </w:p>
    <w:p w14:paraId="3B34BE83" w14:textId="77777777" w:rsidR="00EF62BA" w:rsidRPr="00C52F8B" w:rsidRDefault="00EF62BA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6673363E" w14:textId="77777777" w:rsidR="006B1BFD" w:rsidRPr="00C52F8B" w:rsidRDefault="00814F62" w:rsidP="00C52F8B">
      <w:pPr>
        <w:pStyle w:val="21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2F8B">
        <w:rPr>
          <w:rFonts w:ascii="Times New Roman" w:hAnsi="Times New Roman" w:cs="Times New Roman"/>
          <w:color w:val="auto"/>
          <w:sz w:val="28"/>
          <w:szCs w:val="28"/>
        </w:rPr>
        <w:lastRenderedPageBreak/>
        <w:t>2.2. 11-е классы — 11А, 11Б</w:t>
      </w:r>
    </w:p>
    <w:p w14:paraId="6CF4CA4D" w14:textId="77777777" w:rsidR="006B1BFD" w:rsidRPr="00C52F8B" w:rsidRDefault="00814F62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F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8E3EB6" wp14:editId="1A088DD5">
            <wp:extent cx="6217920" cy="352127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направления_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52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5681F" w14:textId="77777777" w:rsidR="00EF62BA" w:rsidRPr="00C52F8B" w:rsidRDefault="00EF62BA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930D96" w14:textId="77777777" w:rsidR="00EF62BA" w:rsidRPr="00C52F8B" w:rsidRDefault="00EF62BA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В 11-х классах наиболее выражена ориентация на педагогическое и гуманитарно-социальное направления. В 11А классе среди выбранных специальностей представлены педагогика, аграрная сфера, право, медицина и IT. В 11Б классе наряду с педагогическим направлением востребованы специальности в сфере права, сельского хозяйства, психологии, экономики, журналистики и информационных технологий.</w:t>
      </w:r>
    </w:p>
    <w:p w14:paraId="2D7CF4E8" w14:textId="77777777" w:rsidR="00EF62BA" w:rsidRPr="00C52F8B" w:rsidRDefault="00EF62BA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Таким образом, профессиональный выбор выпускников 11-х классов отличается широким спектром направлений, при этом наиболее устойчивый интерес наблюдается к педагогическим и гуманитарно-социальным специальностям.</w:t>
      </w:r>
    </w:p>
    <w:p w14:paraId="1FBA9E07" w14:textId="3C260CC6" w:rsidR="005A5FB2" w:rsidRPr="00C52F8B" w:rsidRDefault="005A5FB2" w:rsidP="00C52F8B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lang w:val="ru-KZ"/>
        </w:rPr>
      </w:pPr>
      <w:r w:rsidRPr="00C52F8B">
        <w:rPr>
          <w:rFonts w:ascii="Times New Roman" w:hAnsi="Times New Roman" w:cs="Times New Roman"/>
          <w:color w:val="auto"/>
          <w:lang w:val="ru-KZ"/>
        </w:rPr>
        <w:t>3.География поступления</w:t>
      </w:r>
    </w:p>
    <w:p w14:paraId="554D292A" w14:textId="77777777" w:rsidR="005A5FB2" w:rsidRPr="00C52F8B" w:rsidRDefault="005A5FB2" w:rsidP="00C52F8B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Анализ географии дальнейшего обучения показывает, что основным образовательным центром для выпускников является Костанай, куда поступили 34 человека. Второе место занимает Астана — 17 выпускников. Далее следуют Кокшетау — 6 человек и Аркалык — 3 человека.</w:t>
      </w:r>
    </w:p>
    <w:p w14:paraId="0C311A0F" w14:textId="77777777" w:rsidR="005A5FB2" w:rsidRPr="00C52F8B" w:rsidRDefault="005A5FB2" w:rsidP="00C52F8B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 xml:space="preserve">Единичные случаи поступления отмечены в Алматы, Тюмени, Екатеринбурге, Рудном, Есиле и </w:t>
      </w:r>
      <w:proofErr w:type="spellStart"/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Карабалыке</w:t>
      </w:r>
      <w:proofErr w:type="spellEnd"/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.</w:t>
      </w:r>
    </w:p>
    <w:p w14:paraId="52C17735" w14:textId="77777777" w:rsidR="005A5FB2" w:rsidRPr="00C52F8B" w:rsidRDefault="005A5FB2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 xml:space="preserve">Таким образом, образовательная мобильность выпускников характеризуется преимущественной ориентацией на Костанай и Астану как основные центры получения профессионального образования. При этом часть выпускников выбирает образовательные организации других регионов Казахстана, а отдельные учащиеся продолжают обучение за пределами страны, что свидетельствует о расширении географии образовательного выбора. </w:t>
      </w:r>
    </w:p>
    <w:p w14:paraId="11BBA655" w14:textId="77777777" w:rsidR="005A5FB2" w:rsidRPr="00C52F8B" w:rsidRDefault="005A5FB2" w:rsidP="00C52F8B">
      <w:pPr>
        <w:jc w:val="both"/>
        <w:rPr>
          <w:sz w:val="28"/>
          <w:szCs w:val="28"/>
          <w:lang w:val="ru-KZ"/>
        </w:rPr>
      </w:pPr>
    </w:p>
    <w:p w14:paraId="63070A36" w14:textId="1DBF8006" w:rsidR="005A5FB2" w:rsidRPr="00C52F8B" w:rsidRDefault="005A5FB2" w:rsidP="00C52F8B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lang w:val="ru-KZ"/>
        </w:rPr>
      </w:pPr>
      <w:r w:rsidRPr="00C52F8B">
        <w:rPr>
          <w:rFonts w:ascii="Times New Roman" w:hAnsi="Times New Roman" w:cs="Times New Roman"/>
          <w:color w:val="auto"/>
          <w:lang w:val="ru-KZ"/>
        </w:rPr>
        <w:lastRenderedPageBreak/>
        <w:t>4. Учебные заведения, наиболее востребованные выпускниками</w:t>
      </w:r>
    </w:p>
    <w:p w14:paraId="201FB148" w14:textId="77777777" w:rsidR="005A5FB2" w:rsidRPr="00C52F8B" w:rsidRDefault="005A5FB2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Анализ выбранных образовательных организаций показывает, что наибольшей популярностью среди выпускников пользуются Костанайский региональный университет имени А. Байтурсынова, Костанайский региональный университет, Гуманитарный колледж и Костанайский социально-технический колледж.</w:t>
      </w:r>
    </w:p>
    <w:p w14:paraId="7AE0CDB3" w14:textId="77777777" w:rsidR="005A5FB2" w:rsidRPr="00C52F8B" w:rsidRDefault="005A5FB2" w:rsidP="00C52F8B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 xml:space="preserve">Также устойчивый интерес отмечается к учреждениям, осуществляющим подготовку специалистов в области медицины, техники, сельского хозяйства, права и сферы обслуживания. </w:t>
      </w:r>
    </w:p>
    <w:tbl>
      <w:tblPr>
        <w:tblStyle w:val="aff0"/>
        <w:tblW w:w="10269" w:type="dxa"/>
        <w:tblLook w:val="04A0" w:firstRow="1" w:lastRow="0" w:firstColumn="1" w:lastColumn="0" w:noHBand="0" w:noVBand="1"/>
      </w:tblPr>
      <w:tblGrid>
        <w:gridCol w:w="6987"/>
        <w:gridCol w:w="3282"/>
      </w:tblGrid>
      <w:tr w:rsidR="005A5FB2" w:rsidRPr="00C52F8B" w14:paraId="7DA178F2" w14:textId="77777777" w:rsidTr="00C52F8B">
        <w:trPr>
          <w:trHeight w:val="841"/>
        </w:trPr>
        <w:tc>
          <w:tcPr>
            <w:tcW w:w="0" w:type="auto"/>
            <w:hideMark/>
          </w:tcPr>
          <w:p w14:paraId="1D405539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color w:val="auto"/>
                <w:lang w:val="ru-KZ"/>
              </w:rPr>
              <w:t>Учебное заведение</w:t>
            </w:r>
          </w:p>
        </w:tc>
        <w:tc>
          <w:tcPr>
            <w:tcW w:w="0" w:type="auto"/>
            <w:hideMark/>
          </w:tcPr>
          <w:p w14:paraId="481235A9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color w:val="auto"/>
                <w:lang w:val="ru-KZ"/>
              </w:rPr>
              <w:t>Количество выпускников</w:t>
            </w:r>
          </w:p>
        </w:tc>
      </w:tr>
      <w:tr w:rsidR="005A5FB2" w:rsidRPr="00C52F8B" w14:paraId="6B8AEFA3" w14:textId="77777777" w:rsidTr="00C52F8B">
        <w:trPr>
          <w:trHeight w:val="420"/>
        </w:trPr>
        <w:tc>
          <w:tcPr>
            <w:tcW w:w="0" w:type="auto"/>
            <w:hideMark/>
          </w:tcPr>
          <w:p w14:paraId="36A9D2FA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КРУ имени А. Байтурсынова</w:t>
            </w:r>
          </w:p>
        </w:tc>
        <w:tc>
          <w:tcPr>
            <w:tcW w:w="0" w:type="auto"/>
            <w:hideMark/>
          </w:tcPr>
          <w:p w14:paraId="2C0F8C6D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5</w:t>
            </w:r>
          </w:p>
        </w:tc>
      </w:tr>
      <w:tr w:rsidR="005A5FB2" w:rsidRPr="00C52F8B" w14:paraId="768E996E" w14:textId="77777777" w:rsidTr="00C52F8B">
        <w:trPr>
          <w:trHeight w:val="395"/>
        </w:trPr>
        <w:tc>
          <w:tcPr>
            <w:tcW w:w="0" w:type="auto"/>
            <w:hideMark/>
          </w:tcPr>
          <w:p w14:paraId="4C182957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Костанайский региональный университет</w:t>
            </w:r>
          </w:p>
        </w:tc>
        <w:tc>
          <w:tcPr>
            <w:tcW w:w="0" w:type="auto"/>
            <w:hideMark/>
          </w:tcPr>
          <w:p w14:paraId="55F6C273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3</w:t>
            </w:r>
          </w:p>
        </w:tc>
      </w:tr>
      <w:tr w:rsidR="005A5FB2" w:rsidRPr="00C52F8B" w14:paraId="7E73641E" w14:textId="77777777" w:rsidTr="00C52F8B">
        <w:trPr>
          <w:trHeight w:val="420"/>
        </w:trPr>
        <w:tc>
          <w:tcPr>
            <w:tcW w:w="0" w:type="auto"/>
            <w:hideMark/>
          </w:tcPr>
          <w:p w14:paraId="57A10121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Гуманитарный колледж</w:t>
            </w:r>
          </w:p>
        </w:tc>
        <w:tc>
          <w:tcPr>
            <w:tcW w:w="0" w:type="auto"/>
            <w:hideMark/>
          </w:tcPr>
          <w:p w14:paraId="56B525AE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3</w:t>
            </w:r>
          </w:p>
        </w:tc>
      </w:tr>
      <w:tr w:rsidR="005A5FB2" w:rsidRPr="00C52F8B" w14:paraId="1BC77A27" w14:textId="77777777" w:rsidTr="00C52F8B">
        <w:trPr>
          <w:trHeight w:val="420"/>
        </w:trPr>
        <w:tc>
          <w:tcPr>
            <w:tcW w:w="0" w:type="auto"/>
            <w:hideMark/>
          </w:tcPr>
          <w:p w14:paraId="2BD4BFEC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Костанайский социально-технический колледж</w:t>
            </w:r>
          </w:p>
        </w:tc>
        <w:tc>
          <w:tcPr>
            <w:tcW w:w="0" w:type="auto"/>
            <w:hideMark/>
          </w:tcPr>
          <w:p w14:paraId="1BD37F4D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3</w:t>
            </w:r>
          </w:p>
        </w:tc>
      </w:tr>
      <w:tr w:rsidR="005A5FB2" w:rsidRPr="00C52F8B" w14:paraId="72746B64" w14:textId="77777777" w:rsidTr="00C52F8B">
        <w:trPr>
          <w:trHeight w:val="420"/>
        </w:trPr>
        <w:tc>
          <w:tcPr>
            <w:tcW w:w="0" w:type="auto"/>
            <w:hideMark/>
          </w:tcPr>
          <w:p w14:paraId="4EA5E117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Высший медицинский колледж</w:t>
            </w:r>
          </w:p>
        </w:tc>
        <w:tc>
          <w:tcPr>
            <w:tcW w:w="0" w:type="auto"/>
            <w:hideMark/>
          </w:tcPr>
          <w:p w14:paraId="4CB90EAA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2</w:t>
            </w:r>
          </w:p>
        </w:tc>
      </w:tr>
      <w:tr w:rsidR="005A5FB2" w:rsidRPr="00C52F8B" w14:paraId="093B1846" w14:textId="77777777" w:rsidTr="00C52F8B">
        <w:trPr>
          <w:trHeight w:val="395"/>
        </w:trPr>
        <w:tc>
          <w:tcPr>
            <w:tcW w:w="0" w:type="auto"/>
            <w:hideMark/>
          </w:tcPr>
          <w:p w14:paraId="7748E126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ЧелГУ</w:t>
            </w:r>
          </w:p>
        </w:tc>
        <w:tc>
          <w:tcPr>
            <w:tcW w:w="0" w:type="auto"/>
            <w:hideMark/>
          </w:tcPr>
          <w:p w14:paraId="41F25887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2</w:t>
            </w:r>
          </w:p>
        </w:tc>
      </w:tr>
      <w:tr w:rsidR="005A5FB2" w:rsidRPr="00C52F8B" w14:paraId="51FAAAD5" w14:textId="77777777" w:rsidTr="00C52F8B">
        <w:trPr>
          <w:trHeight w:val="420"/>
        </w:trPr>
        <w:tc>
          <w:tcPr>
            <w:tcW w:w="0" w:type="auto"/>
            <w:hideMark/>
          </w:tcPr>
          <w:p w14:paraId="3B1EF81E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Колледж «Туран»</w:t>
            </w:r>
          </w:p>
        </w:tc>
        <w:tc>
          <w:tcPr>
            <w:tcW w:w="0" w:type="auto"/>
            <w:hideMark/>
          </w:tcPr>
          <w:p w14:paraId="2E2163B4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2</w:t>
            </w:r>
          </w:p>
        </w:tc>
      </w:tr>
      <w:tr w:rsidR="005A5FB2" w:rsidRPr="00C52F8B" w14:paraId="6ACB01CB" w14:textId="77777777" w:rsidTr="00C52F8B">
        <w:trPr>
          <w:trHeight w:val="841"/>
        </w:trPr>
        <w:tc>
          <w:tcPr>
            <w:tcW w:w="0" w:type="auto"/>
            <w:hideMark/>
          </w:tcPr>
          <w:p w14:paraId="1878A14C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Казахский агротехнический университет имени С. Сейфуллина</w:t>
            </w:r>
          </w:p>
        </w:tc>
        <w:tc>
          <w:tcPr>
            <w:tcW w:w="0" w:type="auto"/>
            <w:hideMark/>
          </w:tcPr>
          <w:p w14:paraId="66D09402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2</w:t>
            </w:r>
          </w:p>
        </w:tc>
      </w:tr>
      <w:tr w:rsidR="005A5FB2" w:rsidRPr="00C52F8B" w14:paraId="1351374B" w14:textId="77777777" w:rsidTr="00C52F8B">
        <w:trPr>
          <w:trHeight w:val="420"/>
        </w:trPr>
        <w:tc>
          <w:tcPr>
            <w:tcW w:w="0" w:type="auto"/>
            <w:hideMark/>
          </w:tcPr>
          <w:p w14:paraId="0910A643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Колледж сферы обслуживания</w:t>
            </w:r>
          </w:p>
        </w:tc>
        <w:tc>
          <w:tcPr>
            <w:tcW w:w="0" w:type="auto"/>
            <w:hideMark/>
          </w:tcPr>
          <w:p w14:paraId="5EC6FFD3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2</w:t>
            </w:r>
          </w:p>
        </w:tc>
      </w:tr>
      <w:tr w:rsidR="005A5FB2" w:rsidRPr="00C52F8B" w14:paraId="6CAF7049" w14:textId="77777777" w:rsidTr="00C52F8B">
        <w:trPr>
          <w:trHeight w:val="395"/>
        </w:trPr>
        <w:tc>
          <w:tcPr>
            <w:tcW w:w="0" w:type="auto"/>
            <w:hideMark/>
          </w:tcPr>
          <w:p w14:paraId="2DC2F278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Технический колледж</w:t>
            </w:r>
          </w:p>
        </w:tc>
        <w:tc>
          <w:tcPr>
            <w:tcW w:w="0" w:type="auto"/>
            <w:hideMark/>
          </w:tcPr>
          <w:p w14:paraId="2ADC9E3E" w14:textId="77777777" w:rsidR="005A5FB2" w:rsidRPr="00C52F8B" w:rsidRDefault="005A5FB2" w:rsidP="00C52F8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</w:pPr>
            <w:r w:rsidRPr="00C52F8B">
              <w:rPr>
                <w:rFonts w:ascii="Times New Roman" w:hAnsi="Times New Roman" w:cs="Times New Roman"/>
                <w:b w:val="0"/>
                <w:bCs w:val="0"/>
                <w:color w:val="auto"/>
                <w:lang w:val="ru-KZ"/>
              </w:rPr>
              <w:t>2</w:t>
            </w:r>
          </w:p>
        </w:tc>
      </w:tr>
    </w:tbl>
    <w:p w14:paraId="097FA3A6" w14:textId="77777777" w:rsidR="005A5FB2" w:rsidRPr="00C52F8B" w:rsidRDefault="005A5FB2" w:rsidP="00C52F8B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lang w:val="ru-KZ"/>
        </w:rPr>
      </w:pPr>
      <w:r w:rsidRPr="00C52F8B">
        <w:rPr>
          <w:rFonts w:ascii="Times New Roman" w:hAnsi="Times New Roman" w:cs="Times New Roman"/>
          <w:color w:val="auto"/>
          <w:lang w:val="ru-RU"/>
        </w:rPr>
        <w:t xml:space="preserve">5. </w:t>
      </w:r>
      <w:r w:rsidRPr="00C52F8B">
        <w:rPr>
          <w:rFonts w:ascii="Times New Roman" w:hAnsi="Times New Roman" w:cs="Times New Roman"/>
          <w:color w:val="auto"/>
          <w:lang w:val="ru-KZ"/>
        </w:rPr>
        <w:t>Профессиональные предпочтения: ОГН и ЕМЦ</w:t>
      </w:r>
    </w:p>
    <w:p w14:paraId="00B5C53D" w14:textId="77777777" w:rsidR="005A5FB2" w:rsidRPr="00C52F8B" w:rsidRDefault="005A5FB2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Распределение выпускников по направлениям ОГН и ЕМЦ позволяет определить основные тенденции их профессионального выбора.</w:t>
      </w:r>
    </w:p>
    <w:p w14:paraId="585C75E6" w14:textId="77777777" w:rsidR="005A5FB2" w:rsidRPr="00C52F8B" w:rsidRDefault="005A5FB2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При анализе к направлению ОГН отнесены гуманитарные, социальные, педагогические, правовые, экономические и творческие специальности. К направлению ЕМЦ отнесены технические, IT, медицинские, аграрные и естественно-технические специальности.</w:t>
      </w:r>
    </w:p>
    <w:p w14:paraId="6E23CFFF" w14:textId="77777777" w:rsidR="005A5FB2" w:rsidRPr="00C52F8B" w:rsidRDefault="005A5FB2" w:rsidP="00C52F8B">
      <w:pPr>
        <w:pStyle w:val="1"/>
        <w:spacing w:before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lang w:val="ru-KZ"/>
        </w:rPr>
      </w:pPr>
      <w:r w:rsidRPr="00C52F8B">
        <w:rPr>
          <w:rFonts w:ascii="Times New Roman" w:hAnsi="Times New Roman" w:cs="Times New Roman"/>
          <w:b w:val="0"/>
          <w:bCs w:val="0"/>
          <w:color w:val="auto"/>
          <w:lang w:val="ru-KZ"/>
        </w:rPr>
        <w:t>Полученное распределение позволяет оценить, какое направление пользуется большей востребованностью среди выпускников, и может быть использовано при определении перспективных профильных направлений обучения в 10–11 классах.</w:t>
      </w:r>
    </w:p>
    <w:p w14:paraId="4FC9A4E8" w14:textId="6EEF4DF7" w:rsidR="006B1BFD" w:rsidRPr="00C52F8B" w:rsidRDefault="00814F62" w:rsidP="00C52F8B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C52F8B">
        <w:rPr>
          <w:rFonts w:ascii="Times New Roman" w:hAnsi="Times New Roman" w:cs="Times New Roman"/>
          <w:noProof/>
          <w:color w:val="auto"/>
        </w:rPr>
        <w:lastRenderedPageBreak/>
        <w:drawing>
          <wp:inline distT="0" distB="0" distL="0" distR="0" wp14:anchorId="5535E351" wp14:editId="43570EF0">
            <wp:extent cx="5403272" cy="3073613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ОГН_ЕМЦ_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0199" cy="308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9BA99" w14:textId="77777777" w:rsidR="005A5FB2" w:rsidRPr="00C52F8B" w:rsidRDefault="005A5FB2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В 9-х классах наблюдается небольшое преобладание ЕМЦ: из 28 выпускников 15 выбрали направления ЕМЦ и 13 — ОГН. Наиболее выражена эта тенденция в 9Б классе (8 против 4). В 9А преобладает ОГН (5 против 3), а в 9В направления представлены поровну — 4:4.</w:t>
      </w:r>
    </w:p>
    <w:p w14:paraId="35B490B5" w14:textId="77777777" w:rsidR="005A5FB2" w:rsidRPr="00C52F8B" w:rsidRDefault="005A5FB2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6C5CA33D" w14:textId="77777777" w:rsidR="006B1BFD" w:rsidRPr="00C52F8B" w:rsidRDefault="00814F62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F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F20018" wp14:editId="36FA79E7">
            <wp:extent cx="5577840" cy="313042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ОГН_ЕМЦ_1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3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F499B" w14:textId="77777777" w:rsidR="006B1BFD" w:rsidRPr="00C52F8B" w:rsidRDefault="00814F62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2F8B">
        <w:rPr>
          <w:rFonts w:ascii="Times New Roman" w:hAnsi="Times New Roman" w:cs="Times New Roman"/>
          <w:sz w:val="28"/>
          <w:szCs w:val="28"/>
          <w:lang w:val="ru-RU"/>
        </w:rPr>
        <w:t>11-е классы: картина противоположная. В 11А условно 12 из 19 выборов относятся к ОГН, в 11Б — 15 из 19. Таким образом, среди выпускников 11-х классов явно преобладает ОГН. В совокупности по двум 11-м классам — 27 условных ОГН против 11 ЕМЦ.</w:t>
      </w:r>
    </w:p>
    <w:p w14:paraId="4B7C11DF" w14:textId="77777777" w:rsidR="005A5FB2" w:rsidRPr="00C52F8B" w:rsidRDefault="005A5FB2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E78F42" w14:textId="330CE74C" w:rsidR="006B1BFD" w:rsidRPr="00C52F8B" w:rsidRDefault="00C52F8B" w:rsidP="00C52F8B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lastRenderedPageBreak/>
        <w:t>6</w:t>
      </w:r>
      <w:r w:rsidR="00814F62" w:rsidRPr="00C52F8B">
        <w:rPr>
          <w:rFonts w:ascii="Times New Roman" w:hAnsi="Times New Roman" w:cs="Times New Roman"/>
          <w:color w:val="auto"/>
          <w:lang w:val="ru-RU"/>
        </w:rPr>
        <w:t>. Какие профильные классы целесообразно открывать</w:t>
      </w:r>
    </w:p>
    <w:p w14:paraId="4E66D867" w14:textId="77777777" w:rsidR="005A5FB2" w:rsidRPr="00C52F8B" w:rsidRDefault="005A5FB2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6FA98D" w14:textId="6B203A3B" w:rsidR="006B1BFD" w:rsidRPr="00C52F8B" w:rsidRDefault="00814F62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2F8B">
        <w:rPr>
          <w:rFonts w:ascii="Times New Roman" w:hAnsi="Times New Roman" w:cs="Times New Roman"/>
          <w:sz w:val="28"/>
          <w:szCs w:val="28"/>
          <w:lang w:val="ru-RU"/>
        </w:rPr>
        <w:t>С учётом анализа образовательных траекторий наиболее обоснованным выглядит сохранение двух профильных направлений — ОГН и ЕМЦ, но с различным акцентом.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547"/>
        <w:gridCol w:w="2560"/>
        <w:gridCol w:w="2555"/>
        <w:gridCol w:w="2552"/>
      </w:tblGrid>
      <w:tr w:rsidR="006B1BFD" w:rsidRPr="00C52F8B" w14:paraId="6EEAC891" w14:textId="77777777">
        <w:tc>
          <w:tcPr>
            <w:tcW w:w="2556" w:type="dxa"/>
          </w:tcPr>
          <w:p w14:paraId="6AC84024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Профиль</w:t>
            </w:r>
            <w:proofErr w:type="spellEnd"/>
          </w:p>
        </w:tc>
        <w:tc>
          <w:tcPr>
            <w:tcW w:w="2556" w:type="dxa"/>
          </w:tcPr>
          <w:p w14:paraId="1F518E94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показывает анализ</w:t>
            </w:r>
          </w:p>
        </w:tc>
        <w:tc>
          <w:tcPr>
            <w:tcW w:w="2556" w:type="dxa"/>
          </w:tcPr>
          <w:p w14:paraId="16D79404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Предварительная оценка спроса</w:t>
            </w:r>
          </w:p>
        </w:tc>
        <w:tc>
          <w:tcPr>
            <w:tcW w:w="2556" w:type="dxa"/>
          </w:tcPr>
          <w:p w14:paraId="67562588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Рекомендация</w:t>
            </w:r>
          </w:p>
        </w:tc>
      </w:tr>
      <w:tr w:rsidR="006B1BFD" w:rsidRPr="00F83653" w14:paraId="5BEC79F6" w14:textId="77777777">
        <w:tc>
          <w:tcPr>
            <w:tcW w:w="2556" w:type="dxa"/>
          </w:tcPr>
          <w:p w14:paraId="401D4DAC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ОГН</w:t>
            </w:r>
          </w:p>
        </w:tc>
        <w:tc>
          <w:tcPr>
            <w:tcW w:w="2556" w:type="dxa"/>
          </w:tcPr>
          <w:p w14:paraId="3F39A802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Педагогика, право, психология, журналистика, экономика, дизайн; особенно сильный выбор в 11-х классах.</w:t>
            </w:r>
          </w:p>
        </w:tc>
        <w:tc>
          <w:tcPr>
            <w:tcW w:w="2556" w:type="dxa"/>
          </w:tcPr>
          <w:p w14:paraId="21EF3D7A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  <w:proofErr w:type="spellEnd"/>
          </w:p>
        </w:tc>
        <w:tc>
          <w:tcPr>
            <w:tcW w:w="2556" w:type="dxa"/>
          </w:tcPr>
          <w:p w14:paraId="7216489C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Открывать обязательно; рассматривать как основной профиль.</w:t>
            </w:r>
          </w:p>
        </w:tc>
      </w:tr>
      <w:tr w:rsidR="006B1BFD" w:rsidRPr="00F83653" w14:paraId="4C9D29FF" w14:textId="77777777">
        <w:tc>
          <w:tcPr>
            <w:tcW w:w="2556" w:type="dxa"/>
          </w:tcPr>
          <w:p w14:paraId="1A0FC4C9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ЕМЦ</w:t>
            </w:r>
          </w:p>
        </w:tc>
        <w:tc>
          <w:tcPr>
            <w:tcW w:w="2556" w:type="dxa"/>
          </w:tcPr>
          <w:p w14:paraId="69FD1481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IT</w:t>
            </w:r>
            <w:r w:rsidRPr="00C52F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программирование, техника, аграрные специальности, медицина; особенно заметен среди поступающих 9-х классов.</w:t>
            </w:r>
          </w:p>
        </w:tc>
        <w:tc>
          <w:tcPr>
            <w:tcW w:w="2556" w:type="dxa"/>
          </w:tcPr>
          <w:p w14:paraId="2D088FA0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  <w:proofErr w:type="spellEnd"/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  <w:proofErr w:type="spellEnd"/>
          </w:p>
        </w:tc>
        <w:tc>
          <w:tcPr>
            <w:tcW w:w="2556" w:type="dxa"/>
          </w:tcPr>
          <w:p w14:paraId="3C7AC325" w14:textId="77777777" w:rsidR="006B1BFD" w:rsidRPr="00C52F8B" w:rsidRDefault="00814F62" w:rsidP="00C52F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52F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Сохранять как второй профиль, особенно с </w:t>
            </w:r>
            <w:r w:rsidRPr="00C52F8B">
              <w:rPr>
                <w:rFonts w:ascii="Times New Roman" w:hAnsi="Times New Roman" w:cs="Times New Roman"/>
                <w:sz w:val="28"/>
                <w:szCs w:val="28"/>
              </w:rPr>
              <w:t>IT</w:t>
            </w:r>
            <w:r w:rsidRPr="00C52F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техническим уклоном.</w:t>
            </w:r>
          </w:p>
        </w:tc>
      </w:tr>
    </w:tbl>
    <w:p w14:paraId="44610762" w14:textId="3864A364" w:rsidR="006B1BFD" w:rsidRPr="00C52F8B" w:rsidRDefault="00814F62" w:rsidP="00F836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2F8B">
        <w:rPr>
          <w:rFonts w:ascii="Times New Roman" w:hAnsi="Times New Roman" w:cs="Times New Roman"/>
          <w:sz w:val="28"/>
          <w:szCs w:val="28"/>
          <w:lang w:val="ru-RU"/>
        </w:rPr>
        <w:t xml:space="preserve">При 26 учащихся, продолжающих обучение в 10 классе, оптимальный организационный вариант — предусмотреть возможность открытия одного класса ОГН и одного класса ЕМЦ, если фактический опрос учащихся подтвердит распределение. Однако окончательно делить учащихся по профилям только </w:t>
      </w:r>
      <w:r w:rsidR="00F83653" w:rsidRPr="00C52F8B">
        <w:rPr>
          <w:rFonts w:ascii="Times New Roman" w:hAnsi="Times New Roman" w:cs="Times New Roman"/>
          <w:sz w:val="28"/>
          <w:szCs w:val="28"/>
          <w:lang w:val="ru-RU"/>
        </w:rPr>
        <w:t>на основании специальностей,</w:t>
      </w:r>
      <w:r w:rsidRPr="00C52F8B">
        <w:rPr>
          <w:rFonts w:ascii="Times New Roman" w:hAnsi="Times New Roman" w:cs="Times New Roman"/>
          <w:sz w:val="28"/>
          <w:szCs w:val="28"/>
          <w:lang w:val="ru-RU"/>
        </w:rPr>
        <w:t xml:space="preserve"> поступивших нельзя: для 26 будущих десятиклассников необходимо провести анкетирование по выбранным предметам и профессиональным намерениям.</w:t>
      </w:r>
    </w:p>
    <w:p w14:paraId="59651C15" w14:textId="77777777" w:rsidR="006B1BFD" w:rsidRDefault="00814F62" w:rsidP="00F836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2F8B">
        <w:rPr>
          <w:rFonts w:ascii="Times New Roman" w:hAnsi="Times New Roman" w:cs="Times New Roman"/>
          <w:sz w:val="28"/>
          <w:szCs w:val="28"/>
          <w:lang w:val="ru-RU"/>
        </w:rPr>
        <w:t xml:space="preserve">Если по результатам анкетирования второй профиль не наберёт достаточного количества учащихся, приоритетным для открытия следует считать ОГН, поскольку именно гуманитарно-педагогический блок показывает наиболее устойчивый спрос среди выпускников 11-х классов. ЕМЦ при этом целесообразно сохранить через усиленный </w:t>
      </w:r>
      <w:r w:rsidRPr="00C52F8B">
        <w:rPr>
          <w:rFonts w:ascii="Times New Roman" w:hAnsi="Times New Roman" w:cs="Times New Roman"/>
          <w:sz w:val="28"/>
          <w:szCs w:val="28"/>
        </w:rPr>
        <w:t>IT</w:t>
      </w:r>
      <w:r w:rsidRPr="00C52F8B">
        <w:rPr>
          <w:rFonts w:ascii="Times New Roman" w:hAnsi="Times New Roman" w:cs="Times New Roman"/>
          <w:sz w:val="28"/>
          <w:szCs w:val="28"/>
          <w:lang w:val="ru-RU"/>
        </w:rPr>
        <w:t>/технический компонент и индивидуальные элективные курсы.</w:t>
      </w:r>
    </w:p>
    <w:p w14:paraId="689CC080" w14:textId="77777777" w:rsidR="00C52F8B" w:rsidRDefault="00C52F8B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CA54B8" w14:textId="77777777" w:rsidR="00C52F8B" w:rsidRDefault="00C52F8B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8FE64B" w14:textId="77777777" w:rsidR="00C52F8B" w:rsidRDefault="00C52F8B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6267F0" w14:textId="77777777" w:rsidR="00C52F8B" w:rsidRDefault="00C52F8B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8A0BC0" w14:textId="77777777" w:rsidR="00C52F8B" w:rsidRDefault="00C52F8B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F631AD" w14:textId="77777777" w:rsidR="00C52F8B" w:rsidRPr="00C52F8B" w:rsidRDefault="00C52F8B" w:rsidP="00C5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F33789" w14:textId="7F5084D6" w:rsidR="006B1BFD" w:rsidRPr="00C52F8B" w:rsidRDefault="00C52F8B" w:rsidP="00C52F8B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lastRenderedPageBreak/>
        <w:t>7</w:t>
      </w:r>
      <w:r w:rsidR="00814F62" w:rsidRPr="00C52F8B">
        <w:rPr>
          <w:rFonts w:ascii="Times New Roman" w:hAnsi="Times New Roman" w:cs="Times New Roman"/>
          <w:color w:val="auto"/>
          <w:lang w:val="ru-RU"/>
        </w:rPr>
        <w:t>. Гранты и платное обучение</w:t>
      </w:r>
    </w:p>
    <w:p w14:paraId="432A12D4" w14:textId="77777777" w:rsidR="007F0585" w:rsidRPr="00C52F8B" w:rsidRDefault="007F0585" w:rsidP="00C52F8B">
      <w:pPr>
        <w:jc w:val="both"/>
        <w:rPr>
          <w:sz w:val="28"/>
          <w:szCs w:val="28"/>
          <w:lang w:val="ru-RU"/>
        </w:rPr>
      </w:pPr>
    </w:p>
    <w:p w14:paraId="2DCB1B2B" w14:textId="206F2DCE" w:rsidR="007F0585" w:rsidRPr="00C52F8B" w:rsidRDefault="007F0585" w:rsidP="00C52F8B">
      <w:pPr>
        <w:jc w:val="both"/>
        <w:rPr>
          <w:sz w:val="28"/>
          <w:szCs w:val="28"/>
          <w:lang w:val="ru-RU"/>
        </w:rPr>
      </w:pPr>
      <w:r w:rsidRPr="00C52F8B">
        <w:rPr>
          <w:noProof/>
          <w:sz w:val="28"/>
          <w:szCs w:val="28"/>
        </w:rPr>
        <w:drawing>
          <wp:inline distT="0" distB="0" distL="0" distR="0" wp14:anchorId="643CF7E6" wp14:editId="48A55D5D">
            <wp:extent cx="6483927" cy="3538220"/>
            <wp:effectExtent l="0" t="0" r="12700" b="5080"/>
            <wp:docPr id="124009214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6097AC8-68B6-2367-45B8-2D0612C87B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EA4F7D1" w14:textId="77777777" w:rsidR="007F0585" w:rsidRPr="00C52F8B" w:rsidRDefault="007F0585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По количеству государственных грантов более высокий показатель наблюдается среди выпускников 9-х классов — 19 грантов против 5 среди выпускников 11-х классов.</w:t>
      </w:r>
    </w:p>
    <w:p w14:paraId="49C400FD" w14:textId="77777777" w:rsidR="007F0585" w:rsidRPr="00C52F8B" w:rsidRDefault="007F0585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Полученные результаты показывают необходимость усилить профориентационную работу в 10–11 классах и уделить особое внимание подготовке учащихся к поступлению на гранты в вузы, включая своевременный выбор специальности, повышение учебной мотивации и качественную подготовку к ЕНТ.</w:t>
      </w:r>
    </w:p>
    <w:p w14:paraId="5FDF693C" w14:textId="77777777" w:rsidR="007F0585" w:rsidRPr="00C52F8B" w:rsidRDefault="007F0585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Проведённый анализ показывает, что среди выпускников 9-х классов несколько преобладает ЕМЦ-направление. Наибольший интерес вызывают технические, IT и прикладные специальности.</w:t>
      </w:r>
    </w:p>
    <w:p w14:paraId="18D514EA" w14:textId="77777777" w:rsidR="007F0585" w:rsidRPr="00C52F8B" w:rsidRDefault="007F0585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52F8B">
        <w:rPr>
          <w:rFonts w:ascii="Times New Roman" w:hAnsi="Times New Roman" w:cs="Times New Roman"/>
          <w:sz w:val="28"/>
          <w:szCs w:val="28"/>
          <w:lang w:val="ru-KZ"/>
        </w:rPr>
        <w:t>В связи с этим при планировании профильного обучения целесообразно предусмотреть развитие ЕМЦ-направления, усилив его практическую составляющую через информатику, программирование, робототехнику, STEM-проекты и техническое творчество. Одновременно следует сохранить ОГН как востребованное направление для учащихся, ориентированных на гуманитарные, педагогические, социальные и творческие профессии.</w:t>
      </w:r>
    </w:p>
    <w:p w14:paraId="6079CD08" w14:textId="77777777" w:rsidR="00E536A3" w:rsidRPr="00C52F8B" w:rsidRDefault="00E536A3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2626099E" w14:textId="77777777" w:rsidR="00E536A3" w:rsidRPr="00C52F8B" w:rsidRDefault="00E536A3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211846A8" w14:textId="77777777" w:rsidR="00E536A3" w:rsidRPr="00C52F8B" w:rsidRDefault="00E536A3" w:rsidP="00C52F8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34D31703" w14:textId="40051398" w:rsidR="006B1BFD" w:rsidRPr="00C52F8B" w:rsidRDefault="00C52F8B" w:rsidP="00C52F8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Зам.директора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по профильным предметам: </w:t>
      </w:r>
      <w:r w:rsidR="00E536A3" w:rsidRPr="00C52F8B">
        <w:rPr>
          <w:rFonts w:ascii="Times New Roman" w:hAnsi="Times New Roman" w:cs="Times New Roman"/>
          <w:sz w:val="28"/>
          <w:szCs w:val="28"/>
          <w:lang w:val="ru-KZ"/>
        </w:rPr>
        <w:t>Каирова Д.М.</w:t>
      </w:r>
    </w:p>
    <w:sectPr w:rsidR="006B1BFD" w:rsidRPr="00C52F8B" w:rsidSect="00C52F8B">
      <w:pgSz w:w="12240" w:h="15840"/>
      <w:pgMar w:top="993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53387" w14:textId="77777777" w:rsidR="009F403B" w:rsidRDefault="009F403B">
      <w:pPr>
        <w:spacing w:after="0" w:line="240" w:lineRule="auto"/>
      </w:pPr>
      <w:r>
        <w:separator/>
      </w:r>
    </w:p>
  </w:endnote>
  <w:endnote w:type="continuationSeparator" w:id="0">
    <w:p w14:paraId="23656A6E" w14:textId="77777777" w:rsidR="009F403B" w:rsidRDefault="009F4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44925" w14:textId="77777777" w:rsidR="009F403B" w:rsidRDefault="009F403B">
      <w:pPr>
        <w:spacing w:after="0" w:line="240" w:lineRule="auto"/>
      </w:pPr>
      <w:r>
        <w:separator/>
      </w:r>
    </w:p>
  </w:footnote>
  <w:footnote w:type="continuationSeparator" w:id="0">
    <w:p w14:paraId="176F1C56" w14:textId="77777777" w:rsidR="009F403B" w:rsidRDefault="009F4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0CCDF3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C60C0B"/>
    <w:multiLevelType w:val="multilevel"/>
    <w:tmpl w:val="86029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688805">
    <w:abstractNumId w:val="8"/>
  </w:num>
  <w:num w:numId="2" w16cid:durableId="973100659">
    <w:abstractNumId w:val="6"/>
  </w:num>
  <w:num w:numId="3" w16cid:durableId="1591740986">
    <w:abstractNumId w:val="5"/>
  </w:num>
  <w:num w:numId="4" w16cid:durableId="72631511">
    <w:abstractNumId w:val="4"/>
  </w:num>
  <w:num w:numId="5" w16cid:durableId="1300725467">
    <w:abstractNumId w:val="7"/>
  </w:num>
  <w:num w:numId="6" w16cid:durableId="1577126544">
    <w:abstractNumId w:val="3"/>
  </w:num>
  <w:num w:numId="7" w16cid:durableId="1987081076">
    <w:abstractNumId w:val="2"/>
  </w:num>
  <w:num w:numId="8" w16cid:durableId="40324972">
    <w:abstractNumId w:val="1"/>
  </w:num>
  <w:num w:numId="9" w16cid:durableId="424573259">
    <w:abstractNumId w:val="0"/>
  </w:num>
  <w:num w:numId="10" w16cid:durableId="7155893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2DCB"/>
    <w:rsid w:val="005A5FB2"/>
    <w:rsid w:val="006B1BFD"/>
    <w:rsid w:val="007F0585"/>
    <w:rsid w:val="00814F62"/>
    <w:rsid w:val="009F403B"/>
    <w:rsid w:val="00A6543C"/>
    <w:rsid w:val="00AA1D8D"/>
    <w:rsid w:val="00B1248C"/>
    <w:rsid w:val="00B47730"/>
    <w:rsid w:val="00BD4E3F"/>
    <w:rsid w:val="00C52F8B"/>
    <w:rsid w:val="00CB0664"/>
    <w:rsid w:val="00DA0472"/>
    <w:rsid w:val="00DC4DBD"/>
    <w:rsid w:val="00E536A3"/>
    <w:rsid w:val="00EF62BA"/>
    <w:rsid w:val="00F836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57B53"/>
  <w14:defaultImageDpi w14:val="300"/>
  <w15:docId w15:val="{9B495198-6CE4-4691-A6B5-B2BA8231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ina_\OneDrive\&#1056;&#1072;&#1073;&#1086;&#1095;&#1080;&#1081;%20&#1089;&#1090;&#1086;&#1083;\&#1054;&#1041;&#1051;&#1040;&#1057;&#1058;&#1068;%20&#1090;&#1088;&#1091;&#1076;&#1086;&#1091;&#1089;&#1090;&#1088;&#1086;&#1081;&#1089;&#1090;&#1074;&#1086;%202025-2026%20&#1091;&#1095;.&#1075;&#1086;&#107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ina_\OneDrive\&#1056;&#1072;&#1073;&#1086;&#1095;&#1080;&#1081;%20&#1089;&#1090;&#1086;&#1083;\&#1054;&#1041;&#1051;&#1040;&#1057;&#1058;&#1068;%20&#1090;&#1088;&#1091;&#1076;&#1086;&#1091;&#1089;&#1090;&#1088;&#1086;&#1081;&#1089;&#1090;&#1074;&#1086;%202025-2026%20&#1091;&#1095;.&#1075;&#1086;&#1076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Лист1!$C$8</c:f>
              <c:strCache>
                <c:ptCount val="1"/>
                <c:pt idx="0">
                  <c:v>9А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1.64964606696890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39E-4B33-9A21-421E7265C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Лист1!$D$6:$F$7</c:f>
              <c:multiLvlStrCache>
                <c:ptCount val="3"/>
                <c:lvl>
                  <c:pt idx="2">
                    <c:v>10 класс</c:v>
                  </c:pt>
                </c:lvl>
                <c:lvl>
                  <c:pt idx="0">
                    <c:v>Всего</c:v>
                  </c:pt>
                  <c:pt idx="1">
                    <c:v>Поступили</c:v>
                  </c:pt>
                  <c:pt idx="2">
                    <c:v>Продолжают обучение</c:v>
                  </c:pt>
                </c:lvl>
              </c:multiLvlStrCache>
            </c:multiLvlStrRef>
          </c:cat>
          <c:val>
            <c:numRef>
              <c:f>Лист1!$D$8:$F$8</c:f>
              <c:numCache>
                <c:formatCode>General</c:formatCode>
                <c:ptCount val="3"/>
                <c:pt idx="0">
                  <c:v>21</c:v>
                </c:pt>
                <c:pt idx="1">
                  <c:v>8</c:v>
                </c:pt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9E-4B33-9A21-421E7265CEF6}"/>
            </c:ext>
          </c:extLst>
        </c:ser>
        <c:ser>
          <c:idx val="1"/>
          <c:order val="1"/>
          <c:tx>
            <c:strRef>
              <c:f>Лист1!$C$9</c:f>
              <c:strCache>
                <c:ptCount val="1"/>
                <c:pt idx="0">
                  <c:v>9Б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Лист1!$D$6:$F$7</c:f>
              <c:multiLvlStrCache>
                <c:ptCount val="3"/>
                <c:lvl>
                  <c:pt idx="2">
                    <c:v>10 класс</c:v>
                  </c:pt>
                </c:lvl>
                <c:lvl>
                  <c:pt idx="0">
                    <c:v>Всего</c:v>
                  </c:pt>
                  <c:pt idx="1">
                    <c:v>Поступили</c:v>
                  </c:pt>
                  <c:pt idx="2">
                    <c:v>Продолжают обучение</c:v>
                  </c:pt>
                </c:lvl>
              </c:multiLvlStrCache>
            </c:multiLvlStrRef>
          </c:cat>
          <c:val>
            <c:numRef>
              <c:f>Лист1!$D$9:$F$9</c:f>
              <c:numCache>
                <c:formatCode>General</c:formatCode>
                <c:ptCount val="3"/>
                <c:pt idx="0">
                  <c:v>25</c:v>
                </c:pt>
                <c:pt idx="1">
                  <c:v>12</c:v>
                </c:pt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9E-4B33-9A21-421E7265CEF6}"/>
            </c:ext>
          </c:extLst>
        </c:ser>
        <c:ser>
          <c:idx val="2"/>
          <c:order val="2"/>
          <c:tx>
            <c:strRef>
              <c:f>Лист1!$C$10</c:f>
              <c:strCache>
                <c:ptCount val="1"/>
                <c:pt idx="0">
                  <c:v>9В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Лист1!$D$6:$F$7</c:f>
              <c:multiLvlStrCache>
                <c:ptCount val="3"/>
                <c:lvl>
                  <c:pt idx="2">
                    <c:v>10 класс</c:v>
                  </c:pt>
                </c:lvl>
                <c:lvl>
                  <c:pt idx="0">
                    <c:v>Всего</c:v>
                  </c:pt>
                  <c:pt idx="1">
                    <c:v>Поступили</c:v>
                  </c:pt>
                  <c:pt idx="2">
                    <c:v>Продолжают обучение</c:v>
                  </c:pt>
                </c:lvl>
              </c:multiLvlStrCache>
            </c:multiLvlStrRef>
          </c:cat>
          <c:val>
            <c:numRef>
              <c:f>Лист1!$D$10:$F$10</c:f>
              <c:numCache>
                <c:formatCode>General</c:formatCode>
                <c:ptCount val="3"/>
                <c:pt idx="0">
                  <c:v>21</c:v>
                </c:pt>
                <c:pt idx="1">
                  <c:v>8</c:v>
                </c:pt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9E-4B33-9A21-421E7265CEF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59654000"/>
        <c:axId val="1062629008"/>
        <c:axId val="0"/>
      </c:bar3DChart>
      <c:catAx>
        <c:axId val="359654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062629008"/>
        <c:crosses val="autoZero"/>
        <c:auto val="1"/>
        <c:lblAlgn val="ctr"/>
        <c:lblOffset val="100"/>
        <c:noMultiLvlLbl val="0"/>
      </c:catAx>
      <c:valAx>
        <c:axId val="1062629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35965400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'выпускникик 11 класс'!$D$22</c:f>
              <c:strCache>
                <c:ptCount val="1"/>
                <c:pt idx="0">
                  <c:v>9 класс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'выпускникик 11 класс'!$E$21:$F$21</c:f>
              <c:strCache>
                <c:ptCount val="2"/>
                <c:pt idx="0">
                  <c:v>всего </c:v>
                </c:pt>
                <c:pt idx="1">
                  <c:v>грант </c:v>
                </c:pt>
              </c:strCache>
            </c:strRef>
          </c:cat>
          <c:val>
            <c:numRef>
              <c:f>'выпускникик 11 класс'!$E$22:$F$22</c:f>
              <c:numCache>
                <c:formatCode>General</c:formatCode>
                <c:ptCount val="2"/>
                <c:pt idx="0">
                  <c:v>67</c:v>
                </c:pt>
                <c:pt idx="1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A5-487E-BE29-653B076F1A1C}"/>
            </c:ext>
          </c:extLst>
        </c:ser>
        <c:ser>
          <c:idx val="1"/>
          <c:order val="1"/>
          <c:tx>
            <c:strRef>
              <c:f>'выпускникик 11 класс'!$D$23</c:f>
              <c:strCache>
                <c:ptCount val="1"/>
                <c:pt idx="0">
                  <c:v>11 класс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'выпускникик 11 класс'!$E$21:$F$21</c:f>
              <c:strCache>
                <c:ptCount val="2"/>
                <c:pt idx="0">
                  <c:v>всего </c:v>
                </c:pt>
                <c:pt idx="1">
                  <c:v>грант </c:v>
                </c:pt>
              </c:strCache>
            </c:strRef>
          </c:cat>
          <c:val>
            <c:numRef>
              <c:f>'выпускникик 11 класс'!$E$23:$F$23</c:f>
              <c:numCache>
                <c:formatCode>General</c:formatCode>
                <c:ptCount val="2"/>
                <c:pt idx="0">
                  <c:v>40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A5-487E-BE29-653B076F1A1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170915936"/>
        <c:axId val="1062659248"/>
        <c:axId val="0"/>
      </c:bar3DChart>
      <c:catAx>
        <c:axId val="117091593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062659248"/>
        <c:crosses val="autoZero"/>
        <c:auto val="1"/>
        <c:lblAlgn val="ctr"/>
        <c:lblOffset val="100"/>
        <c:noMultiLvlLbl val="0"/>
      </c:catAx>
      <c:valAx>
        <c:axId val="106265924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1709159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Дина Каирова</cp:lastModifiedBy>
  <cp:revision>4</cp:revision>
  <cp:lastPrinted>2026-09-14T07:23:00Z</cp:lastPrinted>
  <dcterms:created xsi:type="dcterms:W3CDTF">2026-09-14T07:21:00Z</dcterms:created>
  <dcterms:modified xsi:type="dcterms:W3CDTF">2026-09-15T03:30:00Z</dcterms:modified>
  <cp:category/>
</cp:coreProperties>
</file>